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F32E2" w14:textId="72336626" w:rsidR="002A6CE7" w:rsidRPr="00D61D5E" w:rsidRDefault="002A6CE7" w:rsidP="0010111A">
      <w:pPr>
        <w:pStyle w:val="Header"/>
        <w:rPr>
          <w:rFonts w:ascii="Arial" w:hAnsi="Arial" w:cs="Arial"/>
          <w:b/>
          <w:sz w:val="24"/>
          <w:lang w:val="en-US" w:eastAsia="zh-CN"/>
        </w:rPr>
      </w:pPr>
      <w:r w:rsidRPr="00F01539">
        <w:rPr>
          <w:rFonts w:ascii="Arial" w:hAnsi="Arial" w:cs="Arial"/>
          <w:b/>
          <w:sz w:val="24"/>
        </w:rPr>
        <w:t>3GPP TSG-RAN WG4 Meeting #</w:t>
      </w:r>
      <w:r w:rsidR="0033472D" w:rsidRPr="00F01539">
        <w:rPr>
          <w:rFonts w:ascii="Arial" w:hAnsi="Arial" w:cs="Arial"/>
          <w:b/>
          <w:sz w:val="24"/>
          <w:lang w:val="en-US" w:eastAsia="zh-CN"/>
        </w:rPr>
        <w:t>90</w:t>
      </w:r>
      <w:r w:rsidRPr="00F01539">
        <w:rPr>
          <w:rFonts w:ascii="Arial" w:hAnsi="Arial" w:cs="Arial"/>
          <w:b/>
          <w:sz w:val="24"/>
        </w:rPr>
        <w:tab/>
      </w:r>
      <w:r w:rsidRPr="00F01539">
        <w:rPr>
          <w:rFonts w:ascii="Arial" w:hAnsi="Arial" w:cs="Arial"/>
          <w:b/>
          <w:sz w:val="24"/>
        </w:rPr>
        <w:tab/>
        <w:t>R4-1</w:t>
      </w:r>
      <w:r w:rsidR="0033472D" w:rsidRPr="00F01539">
        <w:rPr>
          <w:rFonts w:ascii="Arial" w:hAnsi="Arial" w:cs="Arial"/>
          <w:b/>
          <w:sz w:val="24"/>
          <w:lang w:val="en-US"/>
        </w:rPr>
        <w:t>9</w:t>
      </w:r>
      <w:r w:rsidRPr="00F01539">
        <w:rPr>
          <w:rFonts w:ascii="Arial" w:hAnsi="Arial" w:cs="Arial"/>
          <w:b/>
          <w:sz w:val="24"/>
        </w:rPr>
        <w:t>0</w:t>
      </w:r>
      <w:r w:rsidR="00D61D5E" w:rsidRPr="00D61D5E">
        <w:rPr>
          <w:rFonts w:ascii="Arial" w:hAnsi="Arial" w:cs="Arial"/>
          <w:b/>
          <w:sz w:val="24"/>
          <w:lang w:val="en-US"/>
        </w:rPr>
        <w:t>1767</w:t>
      </w:r>
    </w:p>
    <w:p w14:paraId="49285D3B" w14:textId="3FA125CE" w:rsidR="0033472D" w:rsidRPr="00F01539" w:rsidRDefault="0033472D" w:rsidP="0010111A">
      <w:pPr>
        <w:rPr>
          <w:b/>
          <w:sz w:val="24"/>
        </w:rPr>
      </w:pPr>
      <w:r w:rsidRPr="00F01539">
        <w:rPr>
          <w:b/>
          <w:sz w:val="24"/>
        </w:rPr>
        <w:t>Athens, GR, 25</w:t>
      </w:r>
      <w:r w:rsidRPr="00F01539">
        <w:rPr>
          <w:b/>
          <w:sz w:val="24"/>
          <w:vertAlign w:val="superscript"/>
        </w:rPr>
        <w:t>th</w:t>
      </w:r>
      <w:r w:rsidRPr="00F01539">
        <w:rPr>
          <w:b/>
          <w:sz w:val="24"/>
        </w:rPr>
        <w:t xml:space="preserve"> Feb – 1</w:t>
      </w:r>
      <w:r w:rsidRPr="00F01539">
        <w:rPr>
          <w:b/>
          <w:sz w:val="24"/>
          <w:vertAlign w:val="superscript"/>
        </w:rPr>
        <w:t>st</w:t>
      </w:r>
      <w:r w:rsidRPr="00F01539">
        <w:rPr>
          <w:b/>
          <w:sz w:val="24"/>
        </w:rPr>
        <w:t xml:space="preserve"> March, 2019</w:t>
      </w:r>
    </w:p>
    <w:p w14:paraId="4F6449F1" w14:textId="4B95A841" w:rsidR="002A6CE7" w:rsidRPr="002F266A" w:rsidRDefault="002A6CE7" w:rsidP="0010111A">
      <w:pPr>
        <w:rPr>
          <w:sz w:val="24"/>
          <w:lang w:val="en-US"/>
        </w:rPr>
      </w:pPr>
      <w:r w:rsidRPr="002F266A">
        <w:rPr>
          <w:b/>
          <w:sz w:val="24"/>
          <w:lang w:val="en-US"/>
        </w:rPr>
        <w:t>Agenda Item:</w:t>
      </w:r>
      <w:r w:rsidRPr="002F266A">
        <w:rPr>
          <w:sz w:val="24"/>
          <w:lang w:val="en-US"/>
        </w:rPr>
        <w:tab/>
      </w:r>
      <w:bookmarkStart w:id="0" w:name="Source"/>
      <w:bookmarkEnd w:id="0"/>
      <w:r w:rsidRPr="002F266A">
        <w:rPr>
          <w:sz w:val="24"/>
          <w:lang w:val="en-US"/>
        </w:rPr>
        <w:t>10.</w:t>
      </w:r>
      <w:r w:rsidR="00BC0915" w:rsidRPr="002F266A">
        <w:rPr>
          <w:sz w:val="24"/>
          <w:lang w:val="en-US"/>
        </w:rPr>
        <w:t>2</w:t>
      </w:r>
      <w:r w:rsidR="002F2CBF" w:rsidRPr="002F266A">
        <w:rPr>
          <w:sz w:val="24"/>
          <w:lang w:val="en-US"/>
        </w:rPr>
        <w:t>.</w:t>
      </w:r>
      <w:r w:rsidR="00CC4276" w:rsidRPr="002F266A">
        <w:rPr>
          <w:sz w:val="24"/>
          <w:lang w:val="en-US"/>
        </w:rPr>
        <w:t>3.2</w:t>
      </w:r>
    </w:p>
    <w:p w14:paraId="55757FB0" w14:textId="239BD6C6" w:rsidR="002A6CE7" w:rsidRPr="002F266A" w:rsidRDefault="002A6CE7" w:rsidP="0010111A">
      <w:pPr>
        <w:rPr>
          <w:sz w:val="24"/>
          <w:lang w:val="en-US" w:eastAsia="ja-JP"/>
        </w:rPr>
      </w:pPr>
      <w:r w:rsidRPr="002F266A">
        <w:rPr>
          <w:b/>
          <w:sz w:val="24"/>
          <w:lang w:val="en-US"/>
        </w:rPr>
        <w:t xml:space="preserve">Source: </w:t>
      </w:r>
      <w:r w:rsidRPr="002F266A">
        <w:rPr>
          <w:b/>
          <w:sz w:val="24"/>
          <w:lang w:val="en-US"/>
        </w:rPr>
        <w:tab/>
      </w:r>
      <w:r w:rsidRPr="002F266A">
        <w:rPr>
          <w:b/>
          <w:sz w:val="24"/>
          <w:lang w:val="en-US"/>
        </w:rPr>
        <w:tab/>
      </w:r>
      <w:r w:rsidRPr="002F266A">
        <w:rPr>
          <w:sz w:val="24"/>
          <w:lang w:val="en-US"/>
        </w:rPr>
        <w:t>Rohde &amp; Schwarz</w:t>
      </w:r>
    </w:p>
    <w:p w14:paraId="17B05450" w14:textId="095E87F3" w:rsidR="002A6CE7" w:rsidRPr="00F01539" w:rsidRDefault="002A6CE7" w:rsidP="0010111A">
      <w:pPr>
        <w:rPr>
          <w:sz w:val="24"/>
        </w:rPr>
      </w:pPr>
      <w:r w:rsidRPr="00F01539">
        <w:rPr>
          <w:b/>
          <w:sz w:val="24"/>
        </w:rPr>
        <w:t>Title:</w:t>
      </w:r>
      <w:r w:rsidRPr="00F01539">
        <w:rPr>
          <w:sz w:val="24"/>
        </w:rPr>
        <w:t xml:space="preserve"> </w:t>
      </w:r>
      <w:r w:rsidRPr="00F01539">
        <w:rPr>
          <w:sz w:val="24"/>
        </w:rPr>
        <w:tab/>
      </w:r>
      <w:bookmarkStart w:id="1" w:name="Title"/>
      <w:bookmarkEnd w:id="1"/>
      <w:r w:rsidRPr="00F01539">
        <w:rPr>
          <w:sz w:val="24"/>
        </w:rPr>
        <w:tab/>
      </w:r>
      <w:r w:rsidR="00F01539">
        <w:rPr>
          <w:sz w:val="24"/>
        </w:rPr>
        <w:tab/>
      </w:r>
      <w:r w:rsidR="00E84961" w:rsidRPr="00F01539">
        <w:rPr>
          <w:sz w:val="24"/>
        </w:rPr>
        <w:t>Setup</w:t>
      </w:r>
      <w:r w:rsidR="000E6940" w:rsidRPr="00F01539">
        <w:rPr>
          <w:sz w:val="24"/>
        </w:rPr>
        <w:t xml:space="preserve"> </w:t>
      </w:r>
      <w:r w:rsidR="00CC4276" w:rsidRPr="00F01539">
        <w:rPr>
          <w:sz w:val="24"/>
        </w:rPr>
        <w:t>considerations for FR2</w:t>
      </w:r>
    </w:p>
    <w:p w14:paraId="290B69E3" w14:textId="66E0D090" w:rsidR="002A6CE7" w:rsidRPr="00F01539" w:rsidRDefault="002A6CE7" w:rsidP="0010111A">
      <w:pPr>
        <w:rPr>
          <w:sz w:val="24"/>
        </w:rPr>
      </w:pPr>
      <w:r w:rsidRPr="00F01539">
        <w:rPr>
          <w:b/>
          <w:sz w:val="24"/>
        </w:rPr>
        <w:t>Document for:</w:t>
      </w:r>
      <w:r w:rsidRPr="00F01539">
        <w:rPr>
          <w:sz w:val="24"/>
        </w:rPr>
        <w:tab/>
      </w:r>
      <w:bookmarkStart w:id="2" w:name="DocumentFor"/>
      <w:bookmarkEnd w:id="2"/>
      <w:r w:rsidR="00D63874">
        <w:rPr>
          <w:sz w:val="24"/>
        </w:rPr>
        <w:t>Approval</w:t>
      </w:r>
    </w:p>
    <w:p w14:paraId="7CA60390" w14:textId="5F5ED80C" w:rsidR="00B81FC7" w:rsidRPr="00287274" w:rsidRDefault="00B81FC7" w:rsidP="00B81FC7">
      <w:pPr>
        <w:pStyle w:val="Heading1"/>
        <w:rPr>
          <w:rFonts w:cs="Arial"/>
          <w:sz w:val="24"/>
          <w:szCs w:val="24"/>
        </w:rPr>
      </w:pPr>
      <w:r w:rsidRPr="00287274">
        <w:rPr>
          <w:rFonts w:cs="Arial"/>
          <w:sz w:val="24"/>
          <w:szCs w:val="24"/>
        </w:rPr>
        <w:t>Introduction</w:t>
      </w:r>
    </w:p>
    <w:p w14:paraId="0D502577" w14:textId="1E438EBE" w:rsidR="00BC0915" w:rsidRDefault="00BC0915" w:rsidP="00D024A8">
      <w:pPr>
        <w:jc w:val="both"/>
        <w:rPr>
          <w:lang w:eastAsia="en-US"/>
        </w:rPr>
      </w:pPr>
      <w:bookmarkStart w:id="3" w:name="OLE_LINK10"/>
      <w:bookmarkStart w:id="4" w:name="OLE_LINK11"/>
      <w:r w:rsidRPr="00BC0915">
        <w:rPr>
          <w:lang w:eastAsia="en-US"/>
        </w:rPr>
        <w:t xml:space="preserve">During RAN4#89, the Way Forward on NR MIMO OTA was approved in </w:t>
      </w:r>
      <w:r w:rsidRPr="00BC0915">
        <w:rPr>
          <w:highlight w:val="yellow"/>
          <w:lang w:eastAsia="en-US"/>
        </w:rPr>
        <w:fldChar w:fldCharType="begin"/>
      </w:r>
      <w:r w:rsidRPr="00BC0915">
        <w:rPr>
          <w:lang w:eastAsia="en-US"/>
        </w:rPr>
        <w:instrText xml:space="preserve"> REF _Ref971845 \r \h </w:instrText>
      </w:r>
      <w:r>
        <w:rPr>
          <w:highlight w:val="yellow"/>
          <w:lang w:eastAsia="en-US"/>
        </w:rPr>
        <w:instrText xml:space="preserve"> \* MERGEFORMAT </w:instrText>
      </w:r>
      <w:r w:rsidRPr="00BC0915">
        <w:rPr>
          <w:highlight w:val="yellow"/>
          <w:lang w:eastAsia="en-US"/>
        </w:rPr>
      </w:r>
      <w:r w:rsidRPr="00BC0915">
        <w:rPr>
          <w:highlight w:val="yellow"/>
          <w:lang w:eastAsia="en-US"/>
        </w:rPr>
        <w:fldChar w:fldCharType="separate"/>
      </w:r>
      <w:r w:rsidRPr="00BC0915">
        <w:rPr>
          <w:lang w:eastAsia="en-US"/>
        </w:rPr>
        <w:t>[1]</w:t>
      </w:r>
      <w:r w:rsidRPr="00BC0915">
        <w:rPr>
          <w:highlight w:val="yellow"/>
          <w:lang w:eastAsia="en-US"/>
        </w:rPr>
        <w:fldChar w:fldCharType="end"/>
      </w:r>
      <w:r w:rsidR="00BC02DD" w:rsidRPr="00BC0915">
        <w:rPr>
          <w:lang w:eastAsia="en-US"/>
        </w:rPr>
        <w:t>.</w:t>
      </w:r>
      <w:r w:rsidRPr="00BC0915">
        <w:rPr>
          <w:lang w:eastAsia="en-US"/>
        </w:rPr>
        <w:t xml:space="preserve"> In this way forward, </w:t>
      </w:r>
      <w:r w:rsidR="000E6940">
        <w:rPr>
          <w:lang w:eastAsia="en-US"/>
        </w:rPr>
        <w:t>3D MPAC was agreed as the starting point methodology to be studied for FR2, with special attention to the far field criteria and the test zone definition.</w:t>
      </w:r>
    </w:p>
    <w:p w14:paraId="20C7BE88" w14:textId="35AC0AED" w:rsidR="00E84961" w:rsidRPr="00BC0915" w:rsidRDefault="006039A0" w:rsidP="00D024A8">
      <w:pPr>
        <w:jc w:val="both"/>
        <w:rPr>
          <w:lang w:eastAsia="en-US"/>
        </w:rPr>
      </w:pPr>
      <w:r>
        <w:rPr>
          <w:lang w:eastAsia="en-US"/>
        </w:rPr>
        <w:t>Even though those are critical parameters to define the OTA environment, there are some other that will limit the feasibility of the methodology.</w:t>
      </w:r>
    </w:p>
    <w:p w14:paraId="59D92B3E" w14:textId="48F4A4DE" w:rsidR="00FC45FA" w:rsidRPr="00020338" w:rsidRDefault="003A797C" w:rsidP="00287274">
      <w:pPr>
        <w:pStyle w:val="Heading1"/>
        <w:rPr>
          <w:rFonts w:cs="Arial"/>
          <w:sz w:val="24"/>
          <w:szCs w:val="24"/>
        </w:rPr>
      </w:pPr>
      <w:r>
        <w:rPr>
          <w:rFonts w:cs="Arial"/>
          <w:sz w:val="24"/>
          <w:szCs w:val="24"/>
        </w:rPr>
        <w:t>Feasible SNR</w:t>
      </w:r>
    </w:p>
    <w:p w14:paraId="6C8C433B" w14:textId="7A2E0CD8" w:rsidR="00B74016" w:rsidRDefault="00C81FD1" w:rsidP="0010111A">
      <w:pPr>
        <w:rPr>
          <w:lang w:eastAsia="en-US"/>
        </w:rPr>
      </w:pPr>
      <w:r>
        <w:rPr>
          <w:lang w:eastAsia="en-US"/>
        </w:rPr>
        <w:t>Despite the fact that Noise-limited environment was deemed a priority in the NR MIMO OTA SI due to the implementation challenges the noise-con</w:t>
      </w:r>
      <w:r w:rsidR="0020279D">
        <w:rPr>
          <w:lang w:eastAsia="en-US"/>
        </w:rPr>
        <w:t>trolled environment introduces, the limitations of achievable SNR in a OTA environment for FR2 can also limit the feasibility of the 3D MPAC implementation.</w:t>
      </w:r>
    </w:p>
    <w:p w14:paraId="668E0E95" w14:textId="476A5943" w:rsidR="0020279D" w:rsidRDefault="0020279D" w:rsidP="0020279D">
      <w:pPr>
        <w:rPr>
          <w:lang w:eastAsia="en-US"/>
        </w:rPr>
      </w:pPr>
      <w:r>
        <w:rPr>
          <w:lang w:eastAsia="en-US"/>
        </w:rPr>
        <w:t>As shown in</w:t>
      </w:r>
      <w:r w:rsidR="00D61D5E">
        <w:rPr>
          <w:lang w:eastAsia="en-US"/>
        </w:rPr>
        <w:t xml:space="preserve"> </w:t>
      </w:r>
      <w:r w:rsidR="00D61D5E">
        <w:rPr>
          <w:lang w:eastAsia="en-US"/>
        </w:rPr>
        <w:fldChar w:fldCharType="begin"/>
      </w:r>
      <w:r w:rsidR="00D61D5E">
        <w:rPr>
          <w:lang w:eastAsia="en-US"/>
        </w:rPr>
        <w:instrText xml:space="preserve"> REF _Ref1148834 \r \h </w:instrText>
      </w:r>
      <w:r w:rsidR="00D61D5E">
        <w:rPr>
          <w:lang w:eastAsia="en-US"/>
        </w:rPr>
      </w:r>
      <w:r w:rsidR="00D61D5E">
        <w:rPr>
          <w:lang w:eastAsia="en-US"/>
        </w:rPr>
        <w:fldChar w:fldCharType="separate"/>
      </w:r>
      <w:r w:rsidR="00D61D5E">
        <w:rPr>
          <w:lang w:eastAsia="en-US"/>
        </w:rPr>
        <w:t>[3]</w:t>
      </w:r>
      <w:r w:rsidR="00D61D5E">
        <w:rPr>
          <w:lang w:eastAsia="en-US"/>
        </w:rPr>
        <w:fldChar w:fldCharType="end"/>
      </w:r>
      <w:r>
        <w:rPr>
          <w:lang w:eastAsia="en-US"/>
        </w:rPr>
        <w:t>, the feasible SNR range for FR2 Demod testing has been already discussed</w:t>
      </w:r>
      <w:r w:rsidR="00CD2C6D">
        <w:rPr>
          <w:lang w:eastAsia="en-US"/>
        </w:rPr>
        <w:t xml:space="preserve"> </w:t>
      </w:r>
      <w:r w:rsidR="006B5E89">
        <w:rPr>
          <w:lang w:eastAsia="en-US"/>
        </w:rPr>
        <w:t xml:space="preserve">for a DFF system </w:t>
      </w:r>
      <w:r w:rsidR="00CD2C6D">
        <w:rPr>
          <w:lang w:eastAsia="en-US"/>
        </w:rPr>
        <w:t xml:space="preserve">and </w:t>
      </w:r>
      <w:r w:rsidR="006B5E89">
        <w:rPr>
          <w:lang w:eastAsia="en-US"/>
        </w:rPr>
        <w:t>a device with a radiating aperture size of 5 cm.</w:t>
      </w:r>
      <w:r w:rsidR="00CD2C6D">
        <w:rPr>
          <w:lang w:eastAsia="en-US"/>
        </w:rPr>
        <w:t xml:space="preserve"> </w:t>
      </w:r>
      <w:r w:rsidR="00533711">
        <w:rPr>
          <w:lang w:eastAsia="en-US"/>
        </w:rPr>
        <w:t>The results of the analysis are shown below in table 1.</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6B5E89" w:rsidRPr="00F96F5C" w14:paraId="48FD8794" w14:textId="77777777" w:rsidTr="00A53739">
        <w:trPr>
          <w:jc w:val="center"/>
        </w:trPr>
        <w:tc>
          <w:tcPr>
            <w:tcW w:w="2722" w:type="dxa"/>
            <w:shd w:val="clear" w:color="auto" w:fill="auto"/>
          </w:tcPr>
          <w:p w14:paraId="7060E724" w14:textId="77777777" w:rsidR="006B5E89" w:rsidRPr="00F96F5C" w:rsidRDefault="006B5E89" w:rsidP="00A53739">
            <w:pPr>
              <w:pStyle w:val="TAH"/>
            </w:pPr>
            <w:r w:rsidRPr="00F96F5C">
              <w:t>Channel Bandwidth</w:t>
            </w:r>
          </w:p>
        </w:tc>
        <w:tc>
          <w:tcPr>
            <w:tcW w:w="2381" w:type="dxa"/>
            <w:shd w:val="clear" w:color="auto" w:fill="auto"/>
          </w:tcPr>
          <w:p w14:paraId="5090403F" w14:textId="77777777" w:rsidR="006B5E89" w:rsidRPr="00F96F5C" w:rsidRDefault="006B5E89" w:rsidP="00A53739">
            <w:pPr>
              <w:pStyle w:val="TAH"/>
            </w:pPr>
            <w:r w:rsidRPr="00F96F5C">
              <w:t>Maximum SNR</w:t>
            </w:r>
          </w:p>
        </w:tc>
      </w:tr>
      <w:tr w:rsidR="006B5E89" w:rsidRPr="00F96F5C" w14:paraId="5C4B18B7" w14:textId="77777777" w:rsidTr="00A53739">
        <w:trPr>
          <w:jc w:val="center"/>
        </w:trPr>
        <w:tc>
          <w:tcPr>
            <w:tcW w:w="2722" w:type="dxa"/>
            <w:shd w:val="clear" w:color="auto" w:fill="auto"/>
          </w:tcPr>
          <w:p w14:paraId="414718AD" w14:textId="77777777" w:rsidR="006B5E89" w:rsidRPr="00F96F5C" w:rsidRDefault="006B5E89" w:rsidP="00A53739">
            <w:pPr>
              <w:pStyle w:val="TAC"/>
            </w:pPr>
            <w:r w:rsidRPr="00F96F5C">
              <w:t>100MHz</w:t>
            </w:r>
          </w:p>
        </w:tc>
        <w:tc>
          <w:tcPr>
            <w:tcW w:w="2381" w:type="dxa"/>
            <w:shd w:val="clear" w:color="auto" w:fill="auto"/>
          </w:tcPr>
          <w:p w14:paraId="5F8A6B81" w14:textId="77777777" w:rsidR="006B5E89" w:rsidRPr="00F96F5C" w:rsidRDefault="006B5E89" w:rsidP="00A53739">
            <w:pPr>
              <w:pStyle w:val="TAC"/>
            </w:pPr>
            <w:r w:rsidRPr="00F96F5C">
              <w:t>[18.5dB]</w:t>
            </w:r>
          </w:p>
        </w:tc>
      </w:tr>
      <w:tr w:rsidR="006B5E89" w:rsidRPr="00F96F5C" w14:paraId="66872DEC" w14:textId="77777777" w:rsidTr="00A53739">
        <w:trPr>
          <w:jc w:val="center"/>
        </w:trPr>
        <w:tc>
          <w:tcPr>
            <w:tcW w:w="2722" w:type="dxa"/>
            <w:shd w:val="clear" w:color="auto" w:fill="auto"/>
          </w:tcPr>
          <w:p w14:paraId="4800110D" w14:textId="77777777" w:rsidR="006B5E89" w:rsidRPr="00F96F5C" w:rsidRDefault="006B5E89" w:rsidP="00A53739">
            <w:pPr>
              <w:pStyle w:val="TAC"/>
            </w:pPr>
            <w:r w:rsidRPr="00F96F5C">
              <w:t>200MHz</w:t>
            </w:r>
          </w:p>
        </w:tc>
        <w:tc>
          <w:tcPr>
            <w:tcW w:w="2381" w:type="dxa"/>
            <w:shd w:val="clear" w:color="auto" w:fill="auto"/>
          </w:tcPr>
          <w:p w14:paraId="459B0121" w14:textId="77777777" w:rsidR="006B5E89" w:rsidRPr="00F96F5C" w:rsidRDefault="006B5E89" w:rsidP="006B5E89">
            <w:pPr>
              <w:pStyle w:val="TAC"/>
            </w:pPr>
            <w:r w:rsidRPr="00F96F5C">
              <w:t>[15.5dB]</w:t>
            </w:r>
          </w:p>
        </w:tc>
      </w:tr>
    </w:tbl>
    <w:p w14:paraId="3E3B5B21" w14:textId="2DA05BEF" w:rsidR="006B5E89" w:rsidRDefault="006B5E89" w:rsidP="002F266A">
      <w:pPr>
        <w:pStyle w:val="Caption"/>
        <w:jc w:val="center"/>
      </w:pPr>
      <w:r>
        <w:t xml:space="preserve">Table </w:t>
      </w:r>
      <w:r>
        <w:fldChar w:fldCharType="begin"/>
      </w:r>
      <w:r>
        <w:instrText xml:space="preserve"> SEQ Table \* ARABIC </w:instrText>
      </w:r>
      <w:r>
        <w:fldChar w:fldCharType="separate"/>
      </w:r>
      <w:r>
        <w:rPr>
          <w:noProof/>
        </w:rPr>
        <w:t>1</w:t>
      </w:r>
      <w:r>
        <w:fldChar w:fldCharType="end"/>
      </w:r>
      <w:r w:rsidR="0044543D">
        <w:t>:</w:t>
      </w:r>
      <w:r>
        <w:t xml:space="preserve"> Maximum feasible SNR for DFF system according to TS 38.810</w:t>
      </w:r>
    </w:p>
    <w:p w14:paraId="0583ED23" w14:textId="3CFBE76D" w:rsidR="006B5E89" w:rsidRDefault="00881941" w:rsidP="002F266A">
      <w:r>
        <w:rPr>
          <w:lang w:eastAsia="en-US"/>
        </w:rPr>
        <w:t>The SNR has been derived under the assumption that the AWGN power is 6dB higher than the thermal noise floor of the receiver in the DUT</w:t>
      </w:r>
      <w:r w:rsidR="00533711">
        <w:rPr>
          <w:lang w:eastAsia="en-US"/>
        </w:rPr>
        <w:t xml:space="preserve"> and the test is performed in the beam-peak of the UE. Under noise free conditions it can be assumed that the SNR is possibly up to 6dB higher.</w:t>
      </w:r>
    </w:p>
    <w:p w14:paraId="26EA168B" w14:textId="3E1FB3DE" w:rsidR="00533711" w:rsidRPr="0044543D" w:rsidRDefault="00533711" w:rsidP="002F266A">
      <w:r>
        <w:rPr>
          <w:lang w:eastAsia="en-US"/>
        </w:rPr>
        <w:t>However these values have been derived for a single AoA system, for a 3D MPAC system there may be further limitations, i.e. range length, longer required cables, etc. that further reduce the available SNR for the test. Therefor</w:t>
      </w:r>
      <w:r w:rsidR="00CD2C6D">
        <w:rPr>
          <w:lang w:eastAsia="en-US"/>
        </w:rPr>
        <w:t>e,</w:t>
      </w:r>
      <w:r>
        <w:rPr>
          <w:lang w:eastAsia="en-US"/>
        </w:rPr>
        <w:t xml:space="preserve"> further studies are needed to analyse the impact of a multiple antenna test system on the feasible SNR range.</w:t>
      </w:r>
    </w:p>
    <w:p w14:paraId="63E99583" w14:textId="77777777" w:rsidR="00D63874" w:rsidRDefault="00F831E8" w:rsidP="0010111A">
      <w:pPr>
        <w:rPr>
          <w:b/>
          <w:lang w:eastAsia="en-US"/>
        </w:rPr>
      </w:pPr>
      <w:r>
        <w:rPr>
          <w:b/>
          <w:lang w:eastAsia="en-US"/>
        </w:rPr>
        <w:t xml:space="preserve">Observation </w:t>
      </w:r>
      <w:r w:rsidR="002F266A">
        <w:rPr>
          <w:b/>
          <w:lang w:eastAsia="en-US"/>
        </w:rPr>
        <w:t>1</w:t>
      </w:r>
      <w:r w:rsidR="00FC3048" w:rsidRPr="00F831E8">
        <w:rPr>
          <w:b/>
          <w:lang w:eastAsia="en-US"/>
        </w:rPr>
        <w:t xml:space="preserve">: </w:t>
      </w:r>
      <w:r>
        <w:rPr>
          <w:b/>
          <w:lang w:eastAsia="en-US"/>
        </w:rPr>
        <w:t xml:space="preserve">The maximum feasible SNR for beam-peak AoA is </w:t>
      </w:r>
      <w:r w:rsidR="00533711">
        <w:rPr>
          <w:b/>
          <w:lang w:eastAsia="en-US"/>
        </w:rPr>
        <w:t>18.5 dB</w:t>
      </w:r>
      <w:r w:rsidR="00FC3048" w:rsidRPr="00F831E8">
        <w:rPr>
          <w:b/>
          <w:lang w:eastAsia="en-US"/>
        </w:rPr>
        <w:t>.</w:t>
      </w:r>
      <w:r w:rsidR="00533711">
        <w:rPr>
          <w:b/>
          <w:lang w:eastAsia="en-US"/>
        </w:rPr>
        <w:t xml:space="preserve"> </w:t>
      </w:r>
    </w:p>
    <w:p w14:paraId="223D8BB5" w14:textId="47474327" w:rsidR="00175F7B" w:rsidRPr="00F831E8" w:rsidRDefault="00D63874" w:rsidP="0010111A">
      <w:pPr>
        <w:rPr>
          <w:b/>
          <w:lang w:eastAsia="en-US"/>
        </w:rPr>
      </w:pPr>
      <w:r>
        <w:rPr>
          <w:b/>
          <w:lang w:eastAsia="en-US"/>
        </w:rPr>
        <w:t>Proposal 1: f</w:t>
      </w:r>
      <w:r w:rsidR="00533711">
        <w:rPr>
          <w:b/>
          <w:lang w:eastAsia="en-US"/>
        </w:rPr>
        <w:t>urther investigat</w:t>
      </w:r>
      <w:r>
        <w:rPr>
          <w:b/>
          <w:lang w:eastAsia="en-US"/>
        </w:rPr>
        <w:t>e the feasible SNR range f</w:t>
      </w:r>
      <w:r w:rsidR="00533711">
        <w:rPr>
          <w:b/>
          <w:lang w:eastAsia="en-US"/>
        </w:rPr>
        <w:t>or a multiple antenna test system</w:t>
      </w:r>
      <w:r>
        <w:rPr>
          <w:b/>
          <w:lang w:eastAsia="en-US"/>
        </w:rPr>
        <w:t>.</w:t>
      </w:r>
      <w:r w:rsidR="00533711">
        <w:rPr>
          <w:b/>
          <w:lang w:eastAsia="en-US"/>
        </w:rPr>
        <w:t xml:space="preserve"> </w:t>
      </w:r>
    </w:p>
    <w:p w14:paraId="05E6D0B0" w14:textId="444478DA" w:rsidR="00114BBA" w:rsidRDefault="00B74016" w:rsidP="00114BBA">
      <w:pPr>
        <w:pStyle w:val="Heading1"/>
        <w:rPr>
          <w:rFonts w:cs="Arial"/>
          <w:sz w:val="24"/>
          <w:szCs w:val="24"/>
        </w:rPr>
      </w:pPr>
      <w:r>
        <w:rPr>
          <w:rFonts w:cs="Arial"/>
          <w:sz w:val="24"/>
          <w:szCs w:val="24"/>
        </w:rPr>
        <w:t>Channel model KPI</w:t>
      </w:r>
      <w:r w:rsidR="001D15D8">
        <w:rPr>
          <w:rFonts w:cs="Arial"/>
          <w:sz w:val="24"/>
          <w:szCs w:val="24"/>
        </w:rPr>
        <w:t xml:space="preserve"> </w:t>
      </w:r>
    </w:p>
    <w:p w14:paraId="3A03F38A" w14:textId="46B9A293" w:rsidR="001D15D8" w:rsidRDefault="001D15D8">
      <w:pPr>
        <w:jc w:val="both"/>
        <w:rPr>
          <w:lang w:eastAsia="en-US"/>
        </w:rPr>
      </w:pPr>
      <w:r>
        <w:rPr>
          <w:lang w:eastAsia="en-US"/>
        </w:rPr>
        <w:t>The definition of the test volume for a MIMO OTA environment is essentially related to the chosen metrics to evaluate how</w:t>
      </w:r>
      <w:r w:rsidR="00B74016">
        <w:rPr>
          <w:lang w:eastAsia="en-US"/>
        </w:rPr>
        <w:t xml:space="preserve"> well </w:t>
      </w:r>
      <w:r>
        <w:rPr>
          <w:lang w:eastAsia="en-US"/>
        </w:rPr>
        <w:t xml:space="preserve">the channel models are </w:t>
      </w:r>
      <w:r w:rsidR="00863316">
        <w:rPr>
          <w:lang w:eastAsia="en-US"/>
        </w:rPr>
        <w:t xml:space="preserve">emulated </w:t>
      </w:r>
      <w:r>
        <w:rPr>
          <w:lang w:eastAsia="en-US"/>
        </w:rPr>
        <w:t>in a 3D MPAC methodology.</w:t>
      </w:r>
    </w:p>
    <w:p w14:paraId="3BDEAA5A" w14:textId="05AF9B94" w:rsidR="001D15D8" w:rsidRPr="0010111A" w:rsidRDefault="00B74016" w:rsidP="00D024A8">
      <w:pPr>
        <w:jc w:val="both"/>
        <w:rPr>
          <w:lang w:eastAsia="en-US"/>
        </w:rPr>
      </w:pPr>
      <w:r w:rsidRPr="0010111A">
        <w:rPr>
          <w:lang w:eastAsia="en-US"/>
        </w:rPr>
        <w:lastRenderedPageBreak/>
        <w:t xml:space="preserve">Previous works for LTE MIMO OTA in </w:t>
      </w:r>
      <w:r w:rsidR="00D61D5E">
        <w:rPr>
          <w:lang w:eastAsia="en-US"/>
        </w:rPr>
        <w:fldChar w:fldCharType="begin"/>
      </w:r>
      <w:r w:rsidR="00D61D5E">
        <w:rPr>
          <w:lang w:eastAsia="en-US"/>
        </w:rPr>
        <w:instrText xml:space="preserve"> REF _Ref1148849 \r \h </w:instrText>
      </w:r>
      <w:r w:rsidR="00D61D5E">
        <w:rPr>
          <w:lang w:eastAsia="en-US"/>
        </w:rPr>
      </w:r>
      <w:r w:rsidR="00D61D5E">
        <w:rPr>
          <w:lang w:eastAsia="en-US"/>
        </w:rPr>
        <w:fldChar w:fldCharType="separate"/>
      </w:r>
      <w:r w:rsidR="00D61D5E">
        <w:rPr>
          <w:lang w:eastAsia="en-US"/>
        </w:rPr>
        <w:t>[2]</w:t>
      </w:r>
      <w:r w:rsidR="00D61D5E">
        <w:rPr>
          <w:lang w:eastAsia="en-US"/>
        </w:rPr>
        <w:fldChar w:fldCharType="end"/>
      </w:r>
      <w:r w:rsidRPr="0010111A">
        <w:rPr>
          <w:lang w:eastAsia="en-US"/>
        </w:rPr>
        <w:t xml:space="preserve"> cover extensive research and results on the verification of Channel Model implementation for sub-6GHz, using the following metrics:</w:t>
      </w:r>
    </w:p>
    <w:p w14:paraId="2F743ADB" w14:textId="4CEBFF88" w:rsidR="001D15D8" w:rsidRPr="00D024A8" w:rsidRDefault="001D15D8" w:rsidP="00D024A8">
      <w:pPr>
        <w:pStyle w:val="ListParagraph"/>
        <w:jc w:val="both"/>
        <w:rPr>
          <w:i/>
        </w:rPr>
      </w:pPr>
      <w:r w:rsidRPr="00D024A8">
        <w:rPr>
          <w:i/>
        </w:rPr>
        <w:t>Power delay profile</w:t>
      </w:r>
      <w:r w:rsidR="00B74016" w:rsidRPr="00D024A8">
        <w:rPr>
          <w:i/>
        </w:rPr>
        <w:t xml:space="preserve"> (PDP)</w:t>
      </w:r>
    </w:p>
    <w:p w14:paraId="07F6AF8C" w14:textId="30B41D0F" w:rsidR="00B74016" w:rsidRPr="00D024A8" w:rsidRDefault="00B74016" w:rsidP="00D024A8">
      <w:pPr>
        <w:pStyle w:val="ListParagraph"/>
        <w:jc w:val="both"/>
        <w:rPr>
          <w:i/>
        </w:rPr>
      </w:pPr>
      <w:r w:rsidRPr="00D024A8">
        <w:rPr>
          <w:i/>
        </w:rPr>
        <w:t>Doppler/Temporal correlation</w:t>
      </w:r>
    </w:p>
    <w:p w14:paraId="0ADE3A02" w14:textId="352B9029" w:rsidR="001D15D8" w:rsidRPr="00D024A8" w:rsidRDefault="001D15D8" w:rsidP="00D024A8">
      <w:pPr>
        <w:pStyle w:val="ListParagraph"/>
        <w:jc w:val="both"/>
        <w:rPr>
          <w:i/>
        </w:rPr>
      </w:pPr>
      <w:r w:rsidRPr="00D024A8">
        <w:rPr>
          <w:i/>
        </w:rPr>
        <w:t xml:space="preserve">Spatial </w:t>
      </w:r>
      <w:r w:rsidR="00D024A8" w:rsidRPr="00D024A8">
        <w:rPr>
          <w:i/>
        </w:rPr>
        <w:t>C</w:t>
      </w:r>
      <w:r w:rsidRPr="00D024A8">
        <w:rPr>
          <w:i/>
        </w:rPr>
        <w:t>orrelation</w:t>
      </w:r>
    </w:p>
    <w:p w14:paraId="62F8503B" w14:textId="77777777" w:rsidR="0010111A" w:rsidRPr="00D024A8" w:rsidRDefault="0010111A" w:rsidP="00D024A8">
      <w:pPr>
        <w:pStyle w:val="ListParagraph"/>
        <w:jc w:val="both"/>
        <w:rPr>
          <w:i/>
        </w:rPr>
      </w:pPr>
      <w:r w:rsidRPr="00D024A8">
        <w:rPr>
          <w:i/>
        </w:rPr>
        <w:t>Cross-polarization</w:t>
      </w:r>
    </w:p>
    <w:p w14:paraId="00E64562" w14:textId="08DCB868" w:rsidR="00D024A8" w:rsidRDefault="00D024A8" w:rsidP="00D024A8">
      <w:pPr>
        <w:jc w:val="both"/>
      </w:pPr>
      <w:r>
        <w:t>w</w:t>
      </w:r>
      <w:r w:rsidRPr="00D024A8">
        <w:t xml:space="preserve">here the </w:t>
      </w:r>
      <w:r>
        <w:t>Spatial Correlation is the main one to evaluate the test volume.</w:t>
      </w:r>
    </w:p>
    <w:p w14:paraId="383BAEE3" w14:textId="621C1BFE" w:rsidR="00BC7073" w:rsidRPr="00D024A8" w:rsidRDefault="00D024A8">
      <w:pPr>
        <w:jc w:val="both"/>
      </w:pPr>
      <w:r w:rsidRPr="00D63874">
        <w:t>It has been argued (e.g. in</w:t>
      </w:r>
      <w:r w:rsidR="00700CAD">
        <w:t xml:space="preserve"> </w:t>
      </w:r>
      <w:r w:rsidR="00700CAD">
        <w:fldChar w:fldCharType="begin"/>
      </w:r>
      <w:r w:rsidR="00700CAD">
        <w:instrText xml:space="preserve"> REF _Ref1149031 \r \h </w:instrText>
      </w:r>
      <w:r w:rsidR="00700CAD">
        <w:fldChar w:fldCharType="separate"/>
      </w:r>
      <w:r w:rsidR="001645BE">
        <w:t>[4]</w:t>
      </w:r>
      <w:r w:rsidR="00700CAD">
        <w:fldChar w:fldCharType="end"/>
      </w:r>
      <w:r w:rsidRPr="00D63874">
        <w:t xml:space="preserve">) that the Spatial Correlation becomes less meaningful for </w:t>
      </w:r>
      <w:r w:rsidR="00F01539" w:rsidRPr="00D63874">
        <w:t>mmWave testing due to the fact that beamforming (both at BS and UE sides) reduces the effective number of clusters to simulate</w:t>
      </w:r>
      <w:r w:rsidR="002F266A" w:rsidRPr="00D63874">
        <w:t xml:space="preserve">. Therefore, the UE beamforming effect in the spherical power spectrum shall be considered in the metric. </w:t>
      </w:r>
    </w:p>
    <w:p w14:paraId="32B30394" w14:textId="1FE94A05" w:rsidR="00D63874" w:rsidRDefault="00D024A8" w:rsidP="00D024A8">
      <w:pPr>
        <w:jc w:val="both"/>
        <w:rPr>
          <w:lang w:eastAsia="en-US"/>
        </w:rPr>
      </w:pPr>
      <w:r>
        <w:rPr>
          <w:lang w:eastAsia="en-US"/>
        </w:rPr>
        <w:t>In addition to the metrics in</w:t>
      </w:r>
      <w:r w:rsidR="00D61D5E">
        <w:rPr>
          <w:lang w:eastAsia="en-US"/>
        </w:rPr>
        <w:t xml:space="preserve"> </w:t>
      </w:r>
      <w:r w:rsidR="00D61D5E">
        <w:rPr>
          <w:lang w:eastAsia="en-US"/>
        </w:rPr>
        <w:fldChar w:fldCharType="begin"/>
      </w:r>
      <w:r w:rsidR="00D61D5E">
        <w:rPr>
          <w:lang w:eastAsia="en-US"/>
        </w:rPr>
        <w:instrText xml:space="preserve"> REF _Ref1148849 \r \h </w:instrText>
      </w:r>
      <w:r w:rsidR="00D61D5E">
        <w:rPr>
          <w:lang w:eastAsia="en-US"/>
        </w:rPr>
      </w:r>
      <w:r w:rsidR="00D61D5E">
        <w:rPr>
          <w:lang w:eastAsia="en-US"/>
        </w:rPr>
        <w:fldChar w:fldCharType="separate"/>
      </w:r>
      <w:r w:rsidR="001645BE">
        <w:rPr>
          <w:lang w:eastAsia="en-US"/>
        </w:rPr>
        <w:t>[2]</w:t>
      </w:r>
      <w:r w:rsidR="00D61D5E">
        <w:rPr>
          <w:lang w:eastAsia="en-US"/>
        </w:rPr>
        <w:fldChar w:fldCharType="end"/>
      </w:r>
      <w:r>
        <w:rPr>
          <w:lang w:eastAsia="en-US"/>
        </w:rPr>
        <w:t xml:space="preserve">, </w:t>
      </w:r>
      <w:r w:rsidR="00700CAD">
        <w:rPr>
          <w:lang w:eastAsia="en-US"/>
        </w:rPr>
        <w:fldChar w:fldCharType="begin"/>
      </w:r>
      <w:r w:rsidR="00700CAD">
        <w:rPr>
          <w:lang w:eastAsia="en-US"/>
        </w:rPr>
        <w:instrText xml:space="preserve"> REF _Ref1149031 \r \h </w:instrText>
      </w:r>
      <w:r w:rsidR="00700CAD">
        <w:rPr>
          <w:lang w:eastAsia="en-US"/>
        </w:rPr>
      </w:r>
      <w:r w:rsidR="00700CAD">
        <w:rPr>
          <w:lang w:eastAsia="en-US"/>
        </w:rPr>
        <w:fldChar w:fldCharType="separate"/>
      </w:r>
      <w:r w:rsidR="001645BE">
        <w:rPr>
          <w:lang w:eastAsia="en-US"/>
        </w:rPr>
        <w:t>[4]</w:t>
      </w:r>
      <w:r w:rsidR="00700CAD">
        <w:rPr>
          <w:lang w:eastAsia="en-US"/>
        </w:rPr>
        <w:fldChar w:fldCharType="end"/>
      </w:r>
      <w:r w:rsidR="00700CAD">
        <w:rPr>
          <w:lang w:eastAsia="en-US"/>
        </w:rPr>
        <w:t xml:space="preserve"> and </w:t>
      </w:r>
      <w:r w:rsidR="00700CAD">
        <w:rPr>
          <w:lang w:eastAsia="en-US"/>
        </w:rPr>
        <w:fldChar w:fldCharType="begin"/>
      </w:r>
      <w:r w:rsidR="00700CAD">
        <w:rPr>
          <w:lang w:eastAsia="en-US"/>
        </w:rPr>
        <w:instrText xml:space="preserve"> REF _Ref1149045 \r \h </w:instrText>
      </w:r>
      <w:r w:rsidR="00700CAD">
        <w:rPr>
          <w:lang w:eastAsia="en-US"/>
        </w:rPr>
      </w:r>
      <w:r w:rsidR="00700CAD">
        <w:rPr>
          <w:lang w:eastAsia="en-US"/>
        </w:rPr>
        <w:fldChar w:fldCharType="separate"/>
      </w:r>
      <w:r w:rsidR="001645BE">
        <w:rPr>
          <w:lang w:eastAsia="en-US"/>
        </w:rPr>
        <w:t>[5]</w:t>
      </w:r>
      <w:r w:rsidR="00700CAD">
        <w:rPr>
          <w:lang w:eastAsia="en-US"/>
        </w:rPr>
        <w:fldChar w:fldCharType="end"/>
      </w:r>
      <w:r w:rsidR="00700CAD">
        <w:rPr>
          <w:lang w:eastAsia="en-US"/>
        </w:rPr>
        <w:t xml:space="preserve"> </w:t>
      </w:r>
      <w:r>
        <w:rPr>
          <w:lang w:eastAsia="en-US"/>
        </w:rPr>
        <w:t xml:space="preserve">have presented in the </w:t>
      </w:r>
      <w:r w:rsidRPr="00D024A8">
        <w:rPr>
          <w:i/>
          <w:lang w:eastAsia="en-US"/>
        </w:rPr>
        <w:t>Total Variation Distance of PAS</w:t>
      </w:r>
      <w:r>
        <w:rPr>
          <w:lang w:eastAsia="en-US"/>
        </w:rPr>
        <w:t xml:space="preserve"> an alternative metric to the </w:t>
      </w:r>
      <w:r w:rsidRPr="00D024A8">
        <w:rPr>
          <w:i/>
          <w:lang w:eastAsia="en-US"/>
        </w:rPr>
        <w:t>Spatial Correlation</w:t>
      </w:r>
      <w:r>
        <w:rPr>
          <w:lang w:eastAsia="en-US"/>
        </w:rPr>
        <w:t xml:space="preserve"> in order to evaluate the similarity of the Power Angular Spectrum produced by the OTA system to the reference PAS</w:t>
      </w:r>
      <w:r w:rsidR="00F01539">
        <w:rPr>
          <w:lang w:eastAsia="en-US"/>
        </w:rPr>
        <w:t>, but the main issue is that it requires information (or specific assumptions) on</w:t>
      </w:r>
      <w:r w:rsidR="00D63874">
        <w:rPr>
          <w:lang w:eastAsia="en-US"/>
        </w:rPr>
        <w:t>:</w:t>
      </w:r>
    </w:p>
    <w:p w14:paraId="1B28A001" w14:textId="223EC7D7" w:rsidR="00D63874" w:rsidRPr="00CD2C6D" w:rsidRDefault="00F01539" w:rsidP="00CD2C6D">
      <w:pPr>
        <w:pStyle w:val="ListParagraph"/>
        <w:jc w:val="both"/>
        <w:rPr>
          <w:i/>
        </w:rPr>
      </w:pPr>
      <w:r w:rsidRPr="00CD2C6D">
        <w:rPr>
          <w:i/>
        </w:rPr>
        <w:t>UE size</w:t>
      </w:r>
    </w:p>
    <w:p w14:paraId="507300D7" w14:textId="3AA9814A" w:rsidR="00D63874" w:rsidRPr="00CD2C6D" w:rsidRDefault="00D63874" w:rsidP="00CD2C6D">
      <w:pPr>
        <w:pStyle w:val="ListParagraph"/>
        <w:jc w:val="both"/>
        <w:rPr>
          <w:i/>
        </w:rPr>
      </w:pPr>
      <w:r w:rsidRPr="00CD2C6D">
        <w:rPr>
          <w:i/>
        </w:rPr>
        <w:t>A</w:t>
      </w:r>
      <w:r w:rsidR="00F01539" w:rsidRPr="00CD2C6D">
        <w:rPr>
          <w:i/>
        </w:rPr>
        <w:t>ntenna array aperture</w:t>
      </w:r>
    </w:p>
    <w:p w14:paraId="6B1B5F09" w14:textId="5B0E51ED" w:rsidR="00D63874" w:rsidRPr="00CD2C6D" w:rsidRDefault="00D63874" w:rsidP="00CD2C6D">
      <w:pPr>
        <w:pStyle w:val="ListParagraph"/>
        <w:jc w:val="both"/>
        <w:rPr>
          <w:i/>
        </w:rPr>
      </w:pPr>
      <w:r w:rsidRPr="00CD2C6D">
        <w:rPr>
          <w:i/>
        </w:rPr>
        <w:t>Antenna array structure</w:t>
      </w:r>
    </w:p>
    <w:p w14:paraId="24F4B678" w14:textId="7BB04985" w:rsidR="00D63874" w:rsidRPr="00CD2C6D" w:rsidRDefault="00D63874" w:rsidP="00CD2C6D">
      <w:pPr>
        <w:pStyle w:val="ListParagraph"/>
        <w:jc w:val="both"/>
        <w:rPr>
          <w:i/>
        </w:rPr>
      </w:pPr>
      <w:r w:rsidRPr="00CD2C6D">
        <w:rPr>
          <w:i/>
        </w:rPr>
        <w:t>Antenna array locations</w:t>
      </w:r>
    </w:p>
    <w:p w14:paraId="5731F641" w14:textId="71B3E38E" w:rsidR="00D024A8" w:rsidRDefault="00D63874" w:rsidP="00D63874">
      <w:pPr>
        <w:jc w:val="both"/>
        <w:rPr>
          <w:lang w:eastAsia="en-US"/>
        </w:rPr>
      </w:pPr>
      <w:r>
        <w:rPr>
          <w:lang w:eastAsia="en-US"/>
        </w:rPr>
        <w:t>All the above i</w:t>
      </w:r>
      <w:r w:rsidR="00F01539">
        <w:rPr>
          <w:lang w:eastAsia="en-US"/>
        </w:rPr>
        <w:t>s against the black-box approach agreed for the NR FR2 Testability SI</w:t>
      </w:r>
      <w:r w:rsidR="00D61D5E">
        <w:rPr>
          <w:lang w:eastAsia="en-US"/>
        </w:rPr>
        <w:t xml:space="preserve"> </w:t>
      </w:r>
      <w:r w:rsidR="00D61D5E">
        <w:rPr>
          <w:lang w:eastAsia="en-US"/>
        </w:rPr>
        <w:fldChar w:fldCharType="begin"/>
      </w:r>
      <w:r w:rsidR="00D61D5E">
        <w:rPr>
          <w:lang w:eastAsia="en-US"/>
        </w:rPr>
        <w:instrText xml:space="preserve"> REF _Ref1148834 \r \h </w:instrText>
      </w:r>
      <w:r w:rsidR="00D61D5E">
        <w:rPr>
          <w:lang w:eastAsia="en-US"/>
        </w:rPr>
      </w:r>
      <w:r w:rsidR="00D61D5E">
        <w:rPr>
          <w:lang w:eastAsia="en-US"/>
        </w:rPr>
        <w:fldChar w:fldCharType="separate"/>
      </w:r>
      <w:r w:rsidR="001645BE">
        <w:rPr>
          <w:lang w:eastAsia="en-US"/>
        </w:rPr>
        <w:t>[3]</w:t>
      </w:r>
      <w:r w:rsidR="00D61D5E">
        <w:rPr>
          <w:lang w:eastAsia="en-US"/>
        </w:rPr>
        <w:fldChar w:fldCharType="end"/>
      </w:r>
      <w:r>
        <w:rPr>
          <w:lang w:eastAsia="en-US"/>
        </w:rPr>
        <w:t>, so further definition of the assumptions to be used for the UE are required.</w:t>
      </w:r>
    </w:p>
    <w:p w14:paraId="013E8E99" w14:textId="2C8B4A01" w:rsidR="0010111A" w:rsidRPr="0010111A" w:rsidRDefault="0010111A" w:rsidP="0010111A">
      <w:pPr>
        <w:rPr>
          <w:b/>
          <w:lang w:eastAsia="en-US"/>
        </w:rPr>
      </w:pPr>
      <w:r w:rsidRPr="00D63874">
        <w:rPr>
          <w:b/>
          <w:lang w:eastAsia="en-US"/>
        </w:rPr>
        <w:t xml:space="preserve">Proposal </w:t>
      </w:r>
      <w:r w:rsidR="00D63874" w:rsidRPr="00D63874">
        <w:rPr>
          <w:b/>
          <w:lang w:eastAsia="en-US"/>
        </w:rPr>
        <w:t>2</w:t>
      </w:r>
      <w:r w:rsidRPr="00D63874">
        <w:rPr>
          <w:b/>
          <w:lang w:eastAsia="en-US"/>
        </w:rPr>
        <w:t xml:space="preserve">: </w:t>
      </w:r>
      <w:r w:rsidR="00D63874" w:rsidRPr="00D63874">
        <w:rPr>
          <w:b/>
          <w:lang w:eastAsia="en-US"/>
        </w:rPr>
        <w:t>further define UE assumptions</w:t>
      </w:r>
      <w:r w:rsidR="001546AA">
        <w:rPr>
          <w:b/>
          <w:lang w:eastAsia="en-US"/>
        </w:rPr>
        <w:t xml:space="preserve"> in order to narrow down the metrics to be used for channel model implementation evaluation.</w:t>
      </w:r>
      <w:r w:rsidR="00D63874">
        <w:rPr>
          <w:b/>
          <w:lang w:eastAsia="en-US"/>
        </w:rPr>
        <w:t xml:space="preserve"> </w:t>
      </w:r>
    </w:p>
    <w:p w14:paraId="3A9FCA7D" w14:textId="7C6D9B2F" w:rsidR="00813C97" w:rsidRPr="00020338" w:rsidRDefault="00813C97" w:rsidP="00813C97">
      <w:pPr>
        <w:pStyle w:val="Heading1"/>
        <w:rPr>
          <w:rFonts w:cs="Arial"/>
          <w:sz w:val="24"/>
          <w:szCs w:val="24"/>
        </w:rPr>
      </w:pPr>
      <w:r>
        <w:rPr>
          <w:rFonts w:cs="Arial"/>
          <w:sz w:val="24"/>
          <w:szCs w:val="24"/>
        </w:rPr>
        <w:t>Summary</w:t>
      </w:r>
    </w:p>
    <w:p w14:paraId="1F27E1D2" w14:textId="5FF09259" w:rsidR="00813C97" w:rsidRPr="00175F7B" w:rsidRDefault="00570C98" w:rsidP="0010111A">
      <w:pPr>
        <w:rPr>
          <w:lang w:eastAsia="en-US"/>
        </w:rPr>
      </w:pPr>
      <w:r w:rsidRPr="00D63874">
        <w:rPr>
          <w:lang w:eastAsia="en-US"/>
        </w:rPr>
        <w:t>The following observations and proposal have been made in this contribution:</w:t>
      </w:r>
      <w:r w:rsidR="00813C97">
        <w:rPr>
          <w:lang w:eastAsia="en-US"/>
        </w:rPr>
        <w:t xml:space="preserve"> </w:t>
      </w:r>
    </w:p>
    <w:bookmarkEnd w:id="3"/>
    <w:bookmarkEnd w:id="4"/>
    <w:p w14:paraId="6870E204" w14:textId="77777777" w:rsidR="00700CAD" w:rsidRDefault="00700CAD" w:rsidP="00700CAD">
      <w:pPr>
        <w:rPr>
          <w:b/>
          <w:lang w:eastAsia="en-US"/>
        </w:rPr>
      </w:pPr>
      <w:r>
        <w:rPr>
          <w:b/>
          <w:lang w:eastAsia="en-US"/>
        </w:rPr>
        <w:t>Observation 1</w:t>
      </w:r>
      <w:r w:rsidRPr="00F831E8">
        <w:rPr>
          <w:b/>
          <w:lang w:eastAsia="en-US"/>
        </w:rPr>
        <w:t xml:space="preserve">: </w:t>
      </w:r>
      <w:r>
        <w:rPr>
          <w:b/>
          <w:lang w:eastAsia="en-US"/>
        </w:rPr>
        <w:t>The maximum feasible SNR for beam-peak AoA is 18.5 dB</w:t>
      </w:r>
      <w:r w:rsidRPr="00F831E8">
        <w:rPr>
          <w:b/>
          <w:lang w:eastAsia="en-US"/>
        </w:rPr>
        <w:t>.</w:t>
      </w:r>
      <w:r>
        <w:rPr>
          <w:b/>
          <w:lang w:eastAsia="en-US"/>
        </w:rPr>
        <w:t xml:space="preserve"> </w:t>
      </w:r>
    </w:p>
    <w:p w14:paraId="4D9B91F0" w14:textId="076B6D9D" w:rsidR="00700CAD" w:rsidRDefault="00700CAD" w:rsidP="00700CAD">
      <w:pPr>
        <w:rPr>
          <w:b/>
          <w:lang w:eastAsia="en-US"/>
        </w:rPr>
      </w:pPr>
      <w:r>
        <w:rPr>
          <w:b/>
          <w:lang w:eastAsia="en-US"/>
        </w:rPr>
        <w:t xml:space="preserve">Proposal 1: further investigate the feasible SNR range for a multiple antenna test system. </w:t>
      </w:r>
    </w:p>
    <w:p w14:paraId="7E6A78E3" w14:textId="77777777" w:rsidR="00700CAD" w:rsidRPr="0010111A" w:rsidRDefault="00700CAD" w:rsidP="00700CAD">
      <w:pPr>
        <w:rPr>
          <w:b/>
          <w:lang w:eastAsia="en-US"/>
        </w:rPr>
      </w:pPr>
      <w:r w:rsidRPr="00D63874">
        <w:rPr>
          <w:b/>
          <w:lang w:eastAsia="en-US"/>
        </w:rPr>
        <w:t>Proposal 2: further define UE assumptions</w:t>
      </w:r>
      <w:r>
        <w:rPr>
          <w:b/>
          <w:lang w:eastAsia="en-US"/>
        </w:rPr>
        <w:t xml:space="preserve"> in order to narrow down the metrics to be used for channel model implementation evaluation. </w:t>
      </w:r>
    </w:p>
    <w:p w14:paraId="05DB11F6" w14:textId="77777777" w:rsidR="001D04B1" w:rsidRPr="00813C97" w:rsidRDefault="001D04B1" w:rsidP="001D04B1">
      <w:pPr>
        <w:pStyle w:val="Heading1"/>
        <w:rPr>
          <w:rFonts w:cs="Arial"/>
          <w:sz w:val="24"/>
        </w:rPr>
      </w:pPr>
      <w:r w:rsidRPr="00813C97">
        <w:rPr>
          <w:rFonts w:cs="Arial"/>
          <w:sz w:val="24"/>
        </w:rPr>
        <w:t>References</w:t>
      </w:r>
    </w:p>
    <w:p w14:paraId="4873F9ED" w14:textId="18A6D566" w:rsidR="00BC0915" w:rsidRPr="00D61D5E" w:rsidRDefault="00BC0915" w:rsidP="00D61D5E">
      <w:pPr>
        <w:pStyle w:val="ListParagraph"/>
        <w:numPr>
          <w:ilvl w:val="0"/>
          <w:numId w:val="4"/>
        </w:numPr>
        <w:rPr>
          <w:lang w:val="en-US"/>
        </w:rPr>
      </w:pPr>
      <w:bookmarkStart w:id="5" w:name="_Ref971845"/>
      <w:bookmarkStart w:id="6" w:name="_Ref889843"/>
      <w:r w:rsidRPr="00D61D5E">
        <w:rPr>
          <w:lang w:val="en-US"/>
        </w:rPr>
        <w:t xml:space="preserve">R4-1815933, </w:t>
      </w:r>
      <w:r w:rsidR="00D61D5E" w:rsidRPr="00D61D5E">
        <w:rPr>
          <w:lang w:val="en-US"/>
        </w:rPr>
        <w:t>"</w:t>
      </w:r>
      <w:r w:rsidRPr="00D61D5E">
        <w:rPr>
          <w:lang w:val="en-US"/>
        </w:rPr>
        <w:t>WF on MIMO OTA</w:t>
      </w:r>
      <w:bookmarkEnd w:id="5"/>
      <w:r w:rsidR="00D61D5E" w:rsidRPr="00D61D5E">
        <w:rPr>
          <w:lang w:val="en-US"/>
        </w:rPr>
        <w:t>“, CAICT, RAN4 #89, November 2018</w:t>
      </w:r>
    </w:p>
    <w:p w14:paraId="2C074737" w14:textId="4F842C77" w:rsidR="00D61D5E" w:rsidRPr="00700CAD" w:rsidRDefault="00BC02DD" w:rsidP="00D61D5E">
      <w:pPr>
        <w:pStyle w:val="ListParagraph"/>
        <w:numPr>
          <w:ilvl w:val="0"/>
          <w:numId w:val="4"/>
        </w:numPr>
        <w:rPr>
          <w:lang w:val="en-US"/>
        </w:rPr>
      </w:pPr>
      <w:bookmarkStart w:id="7" w:name="_Ref1148849"/>
      <w:r w:rsidRPr="00700CAD">
        <w:rPr>
          <w:lang w:val="en-US"/>
        </w:rPr>
        <w:t>TR 37.977</w:t>
      </w:r>
      <w:r w:rsidR="00D61D5E" w:rsidRPr="00700CAD">
        <w:rPr>
          <w:lang w:val="en-US"/>
        </w:rPr>
        <w:t>, Universal Terrestrial Radio Access (UTRA) and Evolved Universal Terrestrial Radio Access (E-UTRA); Verification of radiated multi-antenna reception performance of User Equipment (UE), V15.0.0 (2018-</w:t>
      </w:r>
      <w:bookmarkStart w:id="8" w:name="_GoBack"/>
      <w:bookmarkEnd w:id="8"/>
      <w:r w:rsidR="00D61D5E" w:rsidRPr="00700CAD">
        <w:rPr>
          <w:lang w:val="en-US"/>
        </w:rPr>
        <w:t>10)</w:t>
      </w:r>
      <w:bookmarkEnd w:id="7"/>
    </w:p>
    <w:p w14:paraId="19EA41A6" w14:textId="77777777" w:rsidR="00D61D5E" w:rsidRPr="00700CAD" w:rsidRDefault="00BC02DD" w:rsidP="00D61D5E">
      <w:pPr>
        <w:pStyle w:val="ListParagraph"/>
        <w:numPr>
          <w:ilvl w:val="0"/>
          <w:numId w:val="4"/>
        </w:numPr>
        <w:rPr>
          <w:lang w:val="en-US"/>
        </w:rPr>
      </w:pPr>
      <w:bookmarkStart w:id="9" w:name="_Ref889955"/>
      <w:bookmarkStart w:id="10" w:name="_Ref1148834"/>
      <w:r w:rsidRPr="00700CAD">
        <w:rPr>
          <w:lang w:val="en-US"/>
        </w:rPr>
        <w:t>TR 38.810</w:t>
      </w:r>
      <w:bookmarkEnd w:id="6"/>
      <w:bookmarkEnd w:id="9"/>
      <w:r w:rsidR="00D61D5E" w:rsidRPr="00700CAD">
        <w:rPr>
          <w:lang w:val="en-US"/>
        </w:rPr>
        <w:t>, NR; Study on test methods, V16.1.0 (2019-01)</w:t>
      </w:r>
      <w:bookmarkEnd w:id="10"/>
    </w:p>
    <w:p w14:paraId="7BB6267C" w14:textId="5A6F4E23" w:rsidR="00B74016" w:rsidRPr="00700CAD" w:rsidRDefault="00B74016" w:rsidP="00D61D5E">
      <w:pPr>
        <w:pStyle w:val="ListParagraph"/>
        <w:numPr>
          <w:ilvl w:val="0"/>
          <w:numId w:val="4"/>
        </w:numPr>
        <w:rPr>
          <w:lang w:val="en-US"/>
        </w:rPr>
      </w:pPr>
      <w:bookmarkStart w:id="11" w:name="_Ref1149031"/>
      <w:r w:rsidRPr="00700CAD">
        <w:rPr>
          <w:lang w:val="en-US"/>
        </w:rPr>
        <w:lastRenderedPageBreak/>
        <w:t xml:space="preserve">R4-1705831, “Metrics for evaluating RRM/Demodulation Measurement Setup”, </w:t>
      </w:r>
      <w:r w:rsidR="00D61D5E" w:rsidRPr="00700CAD">
        <w:rPr>
          <w:lang w:val="en-US"/>
        </w:rPr>
        <w:t>Keysight Technologies UK Ltd</w:t>
      </w:r>
      <w:r w:rsidRPr="00700CAD">
        <w:rPr>
          <w:lang w:val="en-US"/>
        </w:rPr>
        <w:t>, RAN4 #83, May 2017</w:t>
      </w:r>
      <w:bookmarkEnd w:id="11"/>
    </w:p>
    <w:p w14:paraId="1D0FAAAE" w14:textId="17BB5386" w:rsidR="0044543D" w:rsidRPr="00700CAD" w:rsidRDefault="00D61D5E" w:rsidP="00D61D5E">
      <w:pPr>
        <w:pStyle w:val="ListParagraph"/>
        <w:numPr>
          <w:ilvl w:val="0"/>
          <w:numId w:val="4"/>
        </w:numPr>
        <w:rPr>
          <w:lang w:val="en-US"/>
        </w:rPr>
      </w:pPr>
      <w:bookmarkStart w:id="12" w:name="_Ref1149045"/>
      <w:r w:rsidRPr="00700CAD">
        <w:rPr>
          <w:lang w:val="en-US"/>
        </w:rPr>
        <w:t>R4-1814835, “On Feasibility of MPAC Systems for FR2”, Keysight Technologies UK Ltd</w:t>
      </w:r>
      <w:r w:rsidR="00700CAD" w:rsidRPr="00700CAD">
        <w:rPr>
          <w:lang w:val="en-US"/>
        </w:rPr>
        <w:t>, RAN4 #89, November 2018</w:t>
      </w:r>
      <w:bookmarkEnd w:id="12"/>
    </w:p>
    <w:sectPr w:rsidR="0044543D" w:rsidRPr="00700CA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9AF6E" w14:textId="77777777" w:rsidR="00977C52" w:rsidRDefault="00977C52" w:rsidP="0010111A">
      <w:r>
        <w:separator/>
      </w:r>
    </w:p>
  </w:endnote>
  <w:endnote w:type="continuationSeparator" w:id="0">
    <w:p w14:paraId="7232D648" w14:textId="77777777" w:rsidR="00977C52" w:rsidRDefault="00977C52" w:rsidP="0010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rsidP="001011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E60A47F" w:rsidR="00D011FC" w:rsidRPr="000E7B1E" w:rsidRDefault="00D011FC" w:rsidP="0010111A">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645BE">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rsidP="001011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212C8E" w14:textId="77777777" w:rsidR="00977C52" w:rsidRDefault="00977C52" w:rsidP="0010111A">
      <w:r>
        <w:separator/>
      </w:r>
    </w:p>
  </w:footnote>
  <w:footnote w:type="continuationSeparator" w:id="0">
    <w:p w14:paraId="0E8934EE" w14:textId="77777777" w:rsidR="00977C52" w:rsidRDefault="00977C52" w:rsidP="00101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rsidP="001011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rsidP="001011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rsidP="001011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1"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0F2324"/>
    <w:multiLevelType w:val="hybridMultilevel"/>
    <w:tmpl w:val="B2BED8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45DD2"/>
    <w:multiLevelType w:val="hybridMultilevel"/>
    <w:tmpl w:val="0A8AAAB8"/>
    <w:lvl w:ilvl="0" w:tplc="6F42915C">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4"/>
  </w:num>
  <w:num w:numId="2">
    <w:abstractNumId w:val="25"/>
  </w:num>
  <w:num w:numId="3">
    <w:abstractNumId w:val="5"/>
  </w:num>
  <w:num w:numId="4">
    <w:abstractNumId w:val="9"/>
  </w:num>
  <w:num w:numId="5">
    <w:abstractNumId w:val="12"/>
  </w:num>
  <w:num w:numId="6">
    <w:abstractNumId w:val="8"/>
  </w:num>
  <w:num w:numId="7">
    <w:abstractNumId w:val="17"/>
  </w:num>
  <w:num w:numId="8">
    <w:abstractNumId w:val="5"/>
  </w:num>
  <w:num w:numId="9">
    <w:abstractNumId w:val="6"/>
  </w:num>
  <w:num w:numId="10">
    <w:abstractNumId w:val="20"/>
  </w:num>
  <w:num w:numId="11">
    <w:abstractNumId w:val="13"/>
  </w:num>
  <w:num w:numId="12">
    <w:abstractNumId w:val="24"/>
  </w:num>
  <w:num w:numId="13">
    <w:abstractNumId w:val="15"/>
  </w:num>
  <w:num w:numId="14">
    <w:abstractNumId w:val="1"/>
  </w:num>
  <w:num w:numId="15">
    <w:abstractNumId w:val="10"/>
  </w:num>
  <w:num w:numId="16">
    <w:abstractNumId w:val="14"/>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7"/>
  </w:num>
  <w:num w:numId="20">
    <w:abstractNumId w:val="3"/>
  </w:num>
  <w:num w:numId="21">
    <w:abstractNumId w:val="23"/>
  </w:num>
  <w:num w:numId="22">
    <w:abstractNumId w:val="18"/>
  </w:num>
  <w:num w:numId="23">
    <w:abstractNumId w:val="19"/>
  </w:num>
  <w:num w:numId="24">
    <w:abstractNumId w:val="4"/>
  </w:num>
  <w:num w:numId="25">
    <w:abstractNumId w:val="14"/>
  </w:num>
  <w:num w:numId="26">
    <w:abstractNumId w:val="14"/>
  </w:num>
  <w:num w:numId="27">
    <w:abstractNumId w:val="11"/>
  </w:num>
  <w:num w:numId="28">
    <w:abstractNumId w:val="2"/>
  </w:num>
  <w:num w:numId="29">
    <w:abstractNumId w:val="16"/>
  </w:num>
  <w:num w:numId="30">
    <w:abstractNumId w:val="22"/>
  </w:num>
  <w:num w:numId="31">
    <w:abstractNumId w:val="2"/>
  </w:num>
  <w:num w:numId="32">
    <w:abstractNumId w:val="2"/>
  </w:num>
  <w:num w:numId="3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6221F"/>
    <w:rsid w:val="0006235E"/>
    <w:rsid w:val="00063C4D"/>
    <w:rsid w:val="000652BE"/>
    <w:rsid w:val="0006555A"/>
    <w:rsid w:val="00072CF5"/>
    <w:rsid w:val="00075135"/>
    <w:rsid w:val="000762B7"/>
    <w:rsid w:val="00076F79"/>
    <w:rsid w:val="000814E4"/>
    <w:rsid w:val="00081C35"/>
    <w:rsid w:val="000828B5"/>
    <w:rsid w:val="00082A5B"/>
    <w:rsid w:val="00092C97"/>
    <w:rsid w:val="00096AAF"/>
    <w:rsid w:val="000A02E3"/>
    <w:rsid w:val="000A0514"/>
    <w:rsid w:val="000A24CE"/>
    <w:rsid w:val="000A262C"/>
    <w:rsid w:val="000A2FB0"/>
    <w:rsid w:val="000A3642"/>
    <w:rsid w:val="000A6628"/>
    <w:rsid w:val="000A7F21"/>
    <w:rsid w:val="000B0F54"/>
    <w:rsid w:val="000B3739"/>
    <w:rsid w:val="000B663A"/>
    <w:rsid w:val="000B7FC7"/>
    <w:rsid w:val="000C194F"/>
    <w:rsid w:val="000C2296"/>
    <w:rsid w:val="000C2BDD"/>
    <w:rsid w:val="000C4F6E"/>
    <w:rsid w:val="000C7078"/>
    <w:rsid w:val="000C7318"/>
    <w:rsid w:val="000C7565"/>
    <w:rsid w:val="000D0908"/>
    <w:rsid w:val="000D0E8E"/>
    <w:rsid w:val="000D0EAF"/>
    <w:rsid w:val="000D347D"/>
    <w:rsid w:val="000D68AB"/>
    <w:rsid w:val="000D79F1"/>
    <w:rsid w:val="000E00AB"/>
    <w:rsid w:val="000E41DF"/>
    <w:rsid w:val="000E6940"/>
    <w:rsid w:val="000E75B0"/>
    <w:rsid w:val="000E7A64"/>
    <w:rsid w:val="000E7B1E"/>
    <w:rsid w:val="000F2169"/>
    <w:rsid w:val="000F7BB6"/>
    <w:rsid w:val="00100D39"/>
    <w:rsid w:val="0010111A"/>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6CE6"/>
    <w:rsid w:val="00131C14"/>
    <w:rsid w:val="00132BDD"/>
    <w:rsid w:val="001339FF"/>
    <w:rsid w:val="00135EA4"/>
    <w:rsid w:val="001378A7"/>
    <w:rsid w:val="00141A19"/>
    <w:rsid w:val="00144DD4"/>
    <w:rsid w:val="0015068F"/>
    <w:rsid w:val="001530C0"/>
    <w:rsid w:val="00153604"/>
    <w:rsid w:val="001546AA"/>
    <w:rsid w:val="00154751"/>
    <w:rsid w:val="001553DE"/>
    <w:rsid w:val="0015692F"/>
    <w:rsid w:val="001610F1"/>
    <w:rsid w:val="0016379A"/>
    <w:rsid w:val="00164040"/>
    <w:rsid w:val="001645BE"/>
    <w:rsid w:val="00166A43"/>
    <w:rsid w:val="00167CAD"/>
    <w:rsid w:val="00167FB4"/>
    <w:rsid w:val="0017275D"/>
    <w:rsid w:val="001727B2"/>
    <w:rsid w:val="00172D17"/>
    <w:rsid w:val="001747B0"/>
    <w:rsid w:val="00174ED5"/>
    <w:rsid w:val="00175F7B"/>
    <w:rsid w:val="00176658"/>
    <w:rsid w:val="00176791"/>
    <w:rsid w:val="00180494"/>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5D8"/>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279D"/>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49D"/>
    <w:rsid w:val="00270D26"/>
    <w:rsid w:val="002759B6"/>
    <w:rsid w:val="00276F00"/>
    <w:rsid w:val="00282191"/>
    <w:rsid w:val="00284170"/>
    <w:rsid w:val="00286031"/>
    <w:rsid w:val="002866C4"/>
    <w:rsid w:val="00287274"/>
    <w:rsid w:val="00287444"/>
    <w:rsid w:val="00290859"/>
    <w:rsid w:val="002947A5"/>
    <w:rsid w:val="002965D4"/>
    <w:rsid w:val="00296747"/>
    <w:rsid w:val="002971B6"/>
    <w:rsid w:val="00297831"/>
    <w:rsid w:val="002A02DF"/>
    <w:rsid w:val="002A06EC"/>
    <w:rsid w:val="002A134F"/>
    <w:rsid w:val="002A2AB2"/>
    <w:rsid w:val="002A33AE"/>
    <w:rsid w:val="002A659B"/>
    <w:rsid w:val="002A6CE7"/>
    <w:rsid w:val="002B111A"/>
    <w:rsid w:val="002B3C4B"/>
    <w:rsid w:val="002B5523"/>
    <w:rsid w:val="002B5708"/>
    <w:rsid w:val="002B5F65"/>
    <w:rsid w:val="002B7900"/>
    <w:rsid w:val="002C098B"/>
    <w:rsid w:val="002C1517"/>
    <w:rsid w:val="002C3A4F"/>
    <w:rsid w:val="002C48E9"/>
    <w:rsid w:val="002C5928"/>
    <w:rsid w:val="002C75A4"/>
    <w:rsid w:val="002D0C60"/>
    <w:rsid w:val="002D394E"/>
    <w:rsid w:val="002D5691"/>
    <w:rsid w:val="002E0D1B"/>
    <w:rsid w:val="002E1075"/>
    <w:rsid w:val="002E3CF0"/>
    <w:rsid w:val="002E434E"/>
    <w:rsid w:val="002E74E5"/>
    <w:rsid w:val="002F1A84"/>
    <w:rsid w:val="002F266A"/>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6038D"/>
    <w:rsid w:val="003607C5"/>
    <w:rsid w:val="003608E0"/>
    <w:rsid w:val="00362E01"/>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FCF"/>
    <w:rsid w:val="003A16D1"/>
    <w:rsid w:val="003A1A60"/>
    <w:rsid w:val="003A1D27"/>
    <w:rsid w:val="003A575F"/>
    <w:rsid w:val="003A7774"/>
    <w:rsid w:val="003A797C"/>
    <w:rsid w:val="003B0EF9"/>
    <w:rsid w:val="003B1E3D"/>
    <w:rsid w:val="003B4147"/>
    <w:rsid w:val="003B4C4E"/>
    <w:rsid w:val="003B5223"/>
    <w:rsid w:val="003B6518"/>
    <w:rsid w:val="003B7288"/>
    <w:rsid w:val="003C0F9B"/>
    <w:rsid w:val="003C1CA1"/>
    <w:rsid w:val="003C22F0"/>
    <w:rsid w:val="003C3D66"/>
    <w:rsid w:val="003C4DDA"/>
    <w:rsid w:val="003C5B3F"/>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4002C9"/>
    <w:rsid w:val="004033E9"/>
    <w:rsid w:val="00411EE3"/>
    <w:rsid w:val="004120AE"/>
    <w:rsid w:val="004137F2"/>
    <w:rsid w:val="00413BFB"/>
    <w:rsid w:val="004149E9"/>
    <w:rsid w:val="0042055D"/>
    <w:rsid w:val="00420D58"/>
    <w:rsid w:val="00423201"/>
    <w:rsid w:val="004257E2"/>
    <w:rsid w:val="0043036D"/>
    <w:rsid w:val="00432425"/>
    <w:rsid w:val="004324FB"/>
    <w:rsid w:val="004325A5"/>
    <w:rsid w:val="004340EB"/>
    <w:rsid w:val="00434839"/>
    <w:rsid w:val="004353D1"/>
    <w:rsid w:val="004372AD"/>
    <w:rsid w:val="00442027"/>
    <w:rsid w:val="0044543D"/>
    <w:rsid w:val="00445FD4"/>
    <w:rsid w:val="00446661"/>
    <w:rsid w:val="00451093"/>
    <w:rsid w:val="0045123F"/>
    <w:rsid w:val="00452D55"/>
    <w:rsid w:val="00455988"/>
    <w:rsid w:val="00457EE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97845"/>
    <w:rsid w:val="004A04A5"/>
    <w:rsid w:val="004A2F58"/>
    <w:rsid w:val="004A3D93"/>
    <w:rsid w:val="004A4033"/>
    <w:rsid w:val="004A5815"/>
    <w:rsid w:val="004A60F7"/>
    <w:rsid w:val="004A79DF"/>
    <w:rsid w:val="004B0619"/>
    <w:rsid w:val="004B0EE9"/>
    <w:rsid w:val="004B17FF"/>
    <w:rsid w:val="004B4C96"/>
    <w:rsid w:val="004C07ED"/>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711"/>
    <w:rsid w:val="00533FBD"/>
    <w:rsid w:val="00534096"/>
    <w:rsid w:val="005346EC"/>
    <w:rsid w:val="005356CB"/>
    <w:rsid w:val="005374EC"/>
    <w:rsid w:val="00537AA4"/>
    <w:rsid w:val="00542862"/>
    <w:rsid w:val="005466D7"/>
    <w:rsid w:val="00551E7D"/>
    <w:rsid w:val="00552E60"/>
    <w:rsid w:val="005535D7"/>
    <w:rsid w:val="0055483C"/>
    <w:rsid w:val="00554EA0"/>
    <w:rsid w:val="00557539"/>
    <w:rsid w:val="00564786"/>
    <w:rsid w:val="00565D1E"/>
    <w:rsid w:val="00565E03"/>
    <w:rsid w:val="00566B4A"/>
    <w:rsid w:val="005678D2"/>
    <w:rsid w:val="0056796B"/>
    <w:rsid w:val="00570805"/>
    <w:rsid w:val="00570C98"/>
    <w:rsid w:val="005718E4"/>
    <w:rsid w:val="00571AAB"/>
    <w:rsid w:val="00571E93"/>
    <w:rsid w:val="00574824"/>
    <w:rsid w:val="005823BA"/>
    <w:rsid w:val="00582F19"/>
    <w:rsid w:val="00583905"/>
    <w:rsid w:val="00586465"/>
    <w:rsid w:val="00590023"/>
    <w:rsid w:val="00590497"/>
    <w:rsid w:val="00594B54"/>
    <w:rsid w:val="005964E4"/>
    <w:rsid w:val="005A04AB"/>
    <w:rsid w:val="005A3BC6"/>
    <w:rsid w:val="005C1279"/>
    <w:rsid w:val="005C517E"/>
    <w:rsid w:val="005C5210"/>
    <w:rsid w:val="005D02F7"/>
    <w:rsid w:val="005D21DE"/>
    <w:rsid w:val="005D278E"/>
    <w:rsid w:val="005D36C5"/>
    <w:rsid w:val="005D37FD"/>
    <w:rsid w:val="005D3C2A"/>
    <w:rsid w:val="005D4744"/>
    <w:rsid w:val="005D4B7F"/>
    <w:rsid w:val="005D4E99"/>
    <w:rsid w:val="005D5F80"/>
    <w:rsid w:val="005E5410"/>
    <w:rsid w:val="005E59B9"/>
    <w:rsid w:val="005F054B"/>
    <w:rsid w:val="005F1B0E"/>
    <w:rsid w:val="005F2CC8"/>
    <w:rsid w:val="005F2E71"/>
    <w:rsid w:val="005F2EDB"/>
    <w:rsid w:val="005F37CF"/>
    <w:rsid w:val="0060326E"/>
    <w:rsid w:val="006039A0"/>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313"/>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5E89"/>
    <w:rsid w:val="006B7575"/>
    <w:rsid w:val="006C049B"/>
    <w:rsid w:val="006C1445"/>
    <w:rsid w:val="006C388F"/>
    <w:rsid w:val="006C4B66"/>
    <w:rsid w:val="006C4E24"/>
    <w:rsid w:val="006C60BB"/>
    <w:rsid w:val="006C6ACE"/>
    <w:rsid w:val="006C74FF"/>
    <w:rsid w:val="006D3C7F"/>
    <w:rsid w:val="006D3FD0"/>
    <w:rsid w:val="006D46B5"/>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0CAD"/>
    <w:rsid w:val="0070104D"/>
    <w:rsid w:val="00706CB9"/>
    <w:rsid w:val="00707FFC"/>
    <w:rsid w:val="00712BF6"/>
    <w:rsid w:val="007138CB"/>
    <w:rsid w:val="007174F8"/>
    <w:rsid w:val="00720003"/>
    <w:rsid w:val="00720FB7"/>
    <w:rsid w:val="00724558"/>
    <w:rsid w:val="007246E4"/>
    <w:rsid w:val="00727BBE"/>
    <w:rsid w:val="00731B27"/>
    <w:rsid w:val="007327DA"/>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E81"/>
    <w:rsid w:val="007B36E6"/>
    <w:rsid w:val="007B49AC"/>
    <w:rsid w:val="007B6733"/>
    <w:rsid w:val="007B6ADB"/>
    <w:rsid w:val="007C0E2A"/>
    <w:rsid w:val="007C221F"/>
    <w:rsid w:val="007C63E0"/>
    <w:rsid w:val="007C6CC6"/>
    <w:rsid w:val="007C7077"/>
    <w:rsid w:val="007C7AEC"/>
    <w:rsid w:val="007D15F5"/>
    <w:rsid w:val="007D2B16"/>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1A7C"/>
    <w:rsid w:val="00813C97"/>
    <w:rsid w:val="00813E8B"/>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316"/>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941"/>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B03"/>
    <w:rsid w:val="00977C52"/>
    <w:rsid w:val="00984C8B"/>
    <w:rsid w:val="009863CE"/>
    <w:rsid w:val="00987740"/>
    <w:rsid w:val="009879A0"/>
    <w:rsid w:val="00987C1F"/>
    <w:rsid w:val="009926B6"/>
    <w:rsid w:val="0099496E"/>
    <w:rsid w:val="00994F45"/>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2D95"/>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518"/>
    <w:rsid w:val="00AC4279"/>
    <w:rsid w:val="00AC51D3"/>
    <w:rsid w:val="00AC551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0606"/>
    <w:rsid w:val="00B413A7"/>
    <w:rsid w:val="00B42131"/>
    <w:rsid w:val="00B50A51"/>
    <w:rsid w:val="00B548F0"/>
    <w:rsid w:val="00B57132"/>
    <w:rsid w:val="00B57FE5"/>
    <w:rsid w:val="00B60110"/>
    <w:rsid w:val="00B61206"/>
    <w:rsid w:val="00B618F7"/>
    <w:rsid w:val="00B65660"/>
    <w:rsid w:val="00B659B8"/>
    <w:rsid w:val="00B65E1E"/>
    <w:rsid w:val="00B67FA8"/>
    <w:rsid w:val="00B73093"/>
    <w:rsid w:val="00B74016"/>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6CAD"/>
    <w:rsid w:val="00B97827"/>
    <w:rsid w:val="00BA0C21"/>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C7073"/>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4153"/>
    <w:rsid w:val="00C25111"/>
    <w:rsid w:val="00C253B8"/>
    <w:rsid w:val="00C25FFD"/>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0DD5"/>
    <w:rsid w:val="00C8107C"/>
    <w:rsid w:val="00C81FD1"/>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4276"/>
    <w:rsid w:val="00CC4FF7"/>
    <w:rsid w:val="00CC627C"/>
    <w:rsid w:val="00CC6B35"/>
    <w:rsid w:val="00CC6DB6"/>
    <w:rsid w:val="00CD04C0"/>
    <w:rsid w:val="00CD1034"/>
    <w:rsid w:val="00CD2C6D"/>
    <w:rsid w:val="00CD46C7"/>
    <w:rsid w:val="00CD6B1A"/>
    <w:rsid w:val="00CE0D0F"/>
    <w:rsid w:val="00CE2567"/>
    <w:rsid w:val="00CE2AA0"/>
    <w:rsid w:val="00CE33D5"/>
    <w:rsid w:val="00CE6A12"/>
    <w:rsid w:val="00CE7B33"/>
    <w:rsid w:val="00CF23C9"/>
    <w:rsid w:val="00CF3ECE"/>
    <w:rsid w:val="00CF41D2"/>
    <w:rsid w:val="00D0035A"/>
    <w:rsid w:val="00D00B3C"/>
    <w:rsid w:val="00D011FC"/>
    <w:rsid w:val="00D024A8"/>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1D5E"/>
    <w:rsid w:val="00D6276B"/>
    <w:rsid w:val="00D63874"/>
    <w:rsid w:val="00D63D63"/>
    <w:rsid w:val="00D63E75"/>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3E9E"/>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E03811"/>
    <w:rsid w:val="00E03F84"/>
    <w:rsid w:val="00E05F51"/>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961"/>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372B"/>
    <w:rsid w:val="00EF7949"/>
    <w:rsid w:val="00F012A7"/>
    <w:rsid w:val="00F01539"/>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31E8"/>
    <w:rsid w:val="00F85F78"/>
    <w:rsid w:val="00F86B37"/>
    <w:rsid w:val="00F90336"/>
    <w:rsid w:val="00F90C1E"/>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75276D9F-5FC5-432E-A714-1B2AB3F4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11A"/>
    <w:pPr>
      <w:spacing w:after="200" w:line="276" w:lineRule="auto"/>
    </w:pPr>
    <w:rPr>
      <w:rFonts w:ascii="Arial" w:hAnsi="Arial" w:cs="Arial"/>
      <w:lang w:val="en-GB"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lang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10111A"/>
    <w:pPr>
      <w:numPr>
        <w:numId w:val="28"/>
      </w:numPr>
      <w:tabs>
        <w:tab w:val="left" w:pos="425"/>
      </w:tabs>
      <w:spacing w:after="120" w:line="271" w:lineRule="auto"/>
    </w:pPr>
    <w:rPr>
      <w:rFonts w:eastAsiaTheme="minorHAnsi"/>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lang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
    <w:name w:val="List"/>
    <w:basedOn w:val="Normal"/>
    <w:link w:val="ListChar"/>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eastAsia="en-GB"/>
    </w:rPr>
  </w:style>
  <w:style w:type="paragraph" w:styleId="List2">
    <w:name w:val="List 2"/>
    <w:basedOn w:val="List"/>
    <w:link w:val="List2Char"/>
    <w:rsid w:val="00154751"/>
    <w:pPr>
      <w:ind w:left="851"/>
    </w:pPr>
  </w:style>
  <w:style w:type="paragraph" w:styleId="List3">
    <w:name w:val="List 3"/>
    <w:basedOn w:val="List2"/>
    <w:link w:val="List3Char"/>
    <w:rsid w:val="00154751"/>
    <w:pPr>
      <w:ind w:left="1135"/>
    </w:pPr>
  </w:style>
  <w:style w:type="paragraph" w:styleId="List4">
    <w:name w:val="List 4"/>
    <w:basedOn w:val="List3"/>
    <w:rsid w:val="00154751"/>
    <w:pPr>
      <w:ind w:left="1418"/>
    </w:pPr>
  </w:style>
  <w:style w:type="character" w:customStyle="1" w:styleId="ListChar">
    <w:name w:val="List Char"/>
    <w:link w:val="List"/>
    <w:rsid w:val="00154751"/>
    <w:rPr>
      <w:rFonts w:ascii="Times New Roman" w:eastAsia="Times New Roman" w:hAnsi="Times New Roman"/>
      <w:lang w:val="en-GB" w:eastAsia="en-GB"/>
    </w:rPr>
  </w:style>
  <w:style w:type="character" w:customStyle="1" w:styleId="List2Char">
    <w:name w:val="List 2 Char"/>
    <w:link w:val="List2"/>
    <w:rsid w:val="00154751"/>
    <w:rPr>
      <w:rFonts w:ascii="Times New Roman" w:eastAsia="Times New Roman" w:hAnsi="Times New Roman"/>
      <w:lang w:val="en-GB" w:eastAsia="en-GB"/>
    </w:rPr>
  </w:style>
  <w:style w:type="character" w:customStyle="1" w:styleId="List3Char">
    <w:name w:val="List 3 Char"/>
    <w:link w:val="List3"/>
    <w:rsid w:val="00154751"/>
    <w:rPr>
      <w:rFonts w:ascii="Times New Roman" w:eastAsia="Times New Roman" w:hAnsi="Times New Roman"/>
      <w:lang w:val="en-GB" w:eastAsia="en-GB"/>
    </w:rPr>
  </w:style>
  <w:style w:type="paragraph" w:customStyle="1" w:styleId="EQ">
    <w:name w:val="EQ"/>
    <w:basedOn w:val="Normal"/>
    <w:next w:val="Normal"/>
    <w:link w:val="EQChar"/>
    <w:rsid w:val="003070F1"/>
    <w:pPr>
      <w:keepLines/>
      <w:tabs>
        <w:tab w:val="center" w:pos="4536"/>
        <w:tab w:val="right" w:pos="9072"/>
      </w:tabs>
      <w:spacing w:after="180" w:line="240" w:lineRule="auto"/>
    </w:pPr>
    <w:rPr>
      <w:rFonts w:ascii="Times New Roman" w:eastAsia="Malgun Gothic" w:hAnsi="Times New Roman" w:cs="Times New Roman"/>
      <w:noProof/>
      <w:lang w:eastAsia="en-US"/>
    </w:rPr>
  </w:style>
  <w:style w:type="paragraph" w:customStyle="1" w:styleId="B1">
    <w:name w:val="B1"/>
    <w:basedOn w:val="List"/>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Normal"/>
    <w:rsid w:val="003070F1"/>
    <w:pPr>
      <w:spacing w:after="180" w:line="240" w:lineRule="auto"/>
    </w:pPr>
    <w:rPr>
      <w:rFonts w:ascii="Times New Roman" w:eastAsia="Malgun Gothic" w:hAnsi="Times New Roman" w:cs="Times New Roman"/>
      <w:i/>
      <w:color w:val="0000FF"/>
      <w:lang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ridTable1Light-Accent3">
    <w:name w:val="Grid Table 1 Light Accent 3"/>
    <w:basedOn w:val="TableNormal"/>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6E02D-2D99-4FAE-8202-408997AB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Jose M. Fortes (1SE4)</cp:lastModifiedBy>
  <cp:revision>5</cp:revision>
  <cp:lastPrinted>2018-08-10T06:24:00Z</cp:lastPrinted>
  <dcterms:created xsi:type="dcterms:W3CDTF">2019-02-15T17:41:00Z</dcterms:created>
  <dcterms:modified xsi:type="dcterms:W3CDTF">2019-02-15T18:15:00Z</dcterms:modified>
  <cp:category/>
</cp:coreProperties>
</file>